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48" w:rsidRPr="00B02DE9" w:rsidRDefault="00B02DE9" w:rsidP="00F31BA5">
      <w:pPr>
        <w:snapToGrid w:val="0"/>
        <w:spacing w:line="400" w:lineRule="exact"/>
        <w:jc w:val="center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bookmarkStart w:id="0" w:name="_GoBack"/>
      <w:r w:rsidRPr="008F5F48">
        <w:rPr>
          <w:rFonts w:ascii="標楷體" w:eastAsia="標楷體" w:hAnsi="標楷體" w:hint="eastAsia"/>
          <w:b/>
          <w:bCs/>
          <w:sz w:val="36"/>
          <w:szCs w:val="36"/>
        </w:rPr>
        <w:t>台灣首府大學</w:t>
      </w:r>
      <w:r w:rsidR="008F5F48" w:rsidRPr="008F5F48">
        <w:rPr>
          <w:rFonts w:ascii="標楷體" w:eastAsia="標楷體" w:hAnsi="標楷體" w:hint="eastAsia"/>
          <w:b/>
          <w:bCs/>
          <w:sz w:val="36"/>
          <w:szCs w:val="36"/>
        </w:rPr>
        <w:t>學生轉系（所、學位學程）辦法</w:t>
      </w:r>
    </w:p>
    <w:bookmarkEnd w:id="0"/>
    <w:p w:rsidR="008F5F48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89 學年度教務會議決議通過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91.4.12</w:t>
      </w:r>
      <w:r w:rsidR="0070692D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教育部台高（二）字第 91046505 號函准予修正備查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91.5.3</w:t>
      </w:r>
      <w:r w:rsidR="0070692D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教育部台高（二）字第 91062466 號函准予修正備查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91.6.6</w:t>
      </w:r>
      <w:r w:rsidR="0070692D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教育部台高(二)字第 91076560 號函准予修正備查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97.4.16</w:t>
      </w:r>
      <w:r w:rsidR="0070692D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96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學年度第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2 學期第 1 次教務會議通過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97.8.28</w:t>
      </w:r>
      <w:r w:rsidR="0070692D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教育部台高(二)字第 0970168943 號函准予修正備查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99 年 7 月 14 日校務會議通過更名</w:t>
      </w:r>
    </w:p>
    <w:p w:rsidR="008F5F48" w:rsidRPr="00DD329B" w:rsidRDefault="008F5F48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106.3.30.105 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學年度第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2 學期第 1 次教務會議修訂通過</w:t>
      </w:r>
    </w:p>
    <w:p w:rsidR="008F5F48" w:rsidRPr="00DD329B" w:rsidRDefault="008F5F48" w:rsidP="0070692D">
      <w:pPr>
        <w:spacing w:line="240" w:lineRule="exact"/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106.8.3</w:t>
      </w:r>
      <w:r w:rsidR="0070692D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教育部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臺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教高(二)字第 1060093146 號函准予修正備查</w:t>
      </w:r>
    </w:p>
    <w:p w:rsidR="008F5F48" w:rsidRDefault="008F5F48" w:rsidP="0070692D">
      <w:pPr>
        <w:spacing w:line="240" w:lineRule="exact"/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第 1、2、3、5、6、7、8、9 條</w:t>
      </w:r>
    </w:p>
    <w:p w:rsidR="008F5F48" w:rsidRDefault="008F5F48" w:rsidP="008F5F48">
      <w:pPr>
        <w:wordWrap w:val="0"/>
        <w:jc w:val="right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B02DE9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1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10</w:t>
      </w:r>
      <w:r w:rsidR="0070692D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1</w:t>
      </w:r>
      <w:r w:rsidR="0070692D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.</w:t>
      </w:r>
      <w:r w:rsidRPr="00B02DE9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2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0</w:t>
      </w:r>
      <w:r w:rsidR="0070692D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.</w:t>
      </w:r>
      <w:r w:rsidRPr="00B02DE9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9</w:t>
      </w:r>
      <w:r w:rsidRPr="00B02DE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學年度第</w:t>
      </w:r>
      <w:r w:rsidR="0070692D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1</w:t>
      </w:r>
      <w:r w:rsidRPr="00B02DE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學期第</w:t>
      </w:r>
      <w:r w:rsidR="0070692D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3</w:t>
      </w:r>
      <w:r w:rsidRPr="00B02DE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次教務會議修正通過</w:t>
      </w:r>
    </w:p>
    <w:p w:rsidR="008F5F48" w:rsidRDefault="00F31BA5" w:rsidP="008F5F48">
      <w:pPr>
        <w:jc w:val="right"/>
        <w:rPr>
          <w:rFonts w:ascii="標楷體" w:eastAsia="標楷體" w:hAnsi="標楷體" w:cs="標楷體,Bold" w:hint="eastAsia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1</w:t>
      </w:r>
      <w:r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10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2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20</w:t>
      </w:r>
      <w:r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.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 xml:space="preserve"> 教育部</w:t>
      </w:r>
      <w:proofErr w:type="gramStart"/>
      <w:r w:rsidRPr="00F31BA5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臺</w:t>
      </w:r>
      <w:proofErr w:type="gramEnd"/>
      <w:r w:rsidRPr="00F31BA5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教高(二)字第1100016206號</w:t>
      </w: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函准予修正備查</w:t>
      </w:r>
    </w:p>
    <w:p w:rsidR="00F31BA5" w:rsidRDefault="00F31BA5" w:rsidP="00F31BA5">
      <w:pPr>
        <w:spacing w:line="240" w:lineRule="exact"/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DD329B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第 2 條</w:t>
      </w:r>
    </w:p>
    <w:p w:rsidR="00F31BA5" w:rsidRPr="008F5F48" w:rsidRDefault="00F31BA5" w:rsidP="008F5F48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</w:p>
    <w:p w:rsidR="008F5F48" w:rsidRPr="00DD329B" w:rsidRDefault="008F5F48" w:rsidP="006B2C10">
      <w:pPr>
        <w:spacing w:line="400" w:lineRule="exact"/>
        <w:ind w:left="840" w:hangingChars="350" w:hanging="84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第一條 台灣首府大學（以下簡稱本校）為辦理學生轉系（所、學位學程）事宜，依據教育部新頒之大學法及其施行細則及本校學則之規定，訂定「台灣首府大學學生轉系（所、學位學程）辦法」(以下簡稱本辦法)。</w:t>
      </w:r>
    </w:p>
    <w:p w:rsidR="008F5F48" w:rsidRPr="00DD329B" w:rsidRDefault="008F5F48" w:rsidP="006B2C10">
      <w:pPr>
        <w:spacing w:line="400" w:lineRule="exact"/>
        <w:ind w:left="48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第二條 本校學士班學生申請轉系（學位學程）得應符合下列規定：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一、 修業滿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一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學年者，得轉入各學系二年級就讀。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二、 修業滿二學年者，得轉入性質相近學系三年級就讀或性質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不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同學系二年級就讀。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三、 修業滿三學年者，如有特殊原因得轉入性質相近學系三年級就讀。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四、 申請轉入各學系三年級者，在抵免相當學分後，於修業年限內（不包括延長年限）依照學期限修學分規定，應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修畢轉入學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系最低畢業學分；否則應降級轉入二年級。</w:t>
      </w:r>
    </w:p>
    <w:p w:rsidR="008F5F48" w:rsidRPr="00DD329B" w:rsidRDefault="008F5F48" w:rsidP="006B2C10">
      <w:pPr>
        <w:spacing w:line="400" w:lineRule="exact"/>
        <w:ind w:left="48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第三條 本校碩士班學生申請轉所得應符合下列規定：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一、 修業滿一年以上。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二、 符合各研究所自訂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之轉所申請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條件。</w:t>
      </w:r>
    </w:p>
    <w:p w:rsidR="008F5F48" w:rsidRPr="00DD329B" w:rsidRDefault="008F5F48" w:rsidP="006B2C10">
      <w:pPr>
        <w:spacing w:line="400" w:lineRule="exact"/>
        <w:ind w:left="48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第四條 學生有下列情形之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一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者，不得申請轉系（所、學位學程）：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一、 已核准轉系（所、學位學程）一次者。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二、 在休學期間者。</w:t>
      </w:r>
    </w:p>
    <w:p w:rsidR="008F5F48" w:rsidRPr="00DD329B" w:rsidRDefault="008F5F48" w:rsidP="006B2C10">
      <w:pPr>
        <w:spacing w:line="400" w:lineRule="exact"/>
        <w:ind w:leftChars="400" w:left="144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三、 受各種入學方式之規定限制不得轉系（所、學位學程）者。</w:t>
      </w:r>
    </w:p>
    <w:p w:rsidR="008F5F48" w:rsidRPr="00DD329B" w:rsidRDefault="008F5F48" w:rsidP="006B2C10">
      <w:pPr>
        <w:spacing w:line="400" w:lineRule="exact"/>
        <w:ind w:left="840" w:hangingChars="350" w:hanging="84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第五條 轉系（學位學程）申請及核定時間，依照本校行事曆規定辦理。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轉所申請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及核定時間，於每學期依教務處公告時限辦理。轉系（所、學位學程）申請時之資格，由各學系（所、學位學程）訂定。凡逾期未辦理申請轉系（所、學位學程）手續者不論任何理由均不得補行辦理。</w:t>
      </w:r>
    </w:p>
    <w:p w:rsidR="008F5F48" w:rsidRPr="00DD329B" w:rsidRDefault="008F5F48" w:rsidP="006B2C10">
      <w:pPr>
        <w:spacing w:line="400" w:lineRule="exact"/>
        <w:ind w:left="960" w:hangingChars="400" w:hanging="96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第六條 凡申請轉系（學位學程），須填具申請書，並經家長或監護人簽章同意，連同審查資</w:t>
      </w:r>
      <w:r w:rsidRPr="00DD329B">
        <w:rPr>
          <w:rFonts w:ascii="標楷體" w:eastAsia="標楷體" w:hAnsi="標楷體" w:cs="標楷體,Bold" w:hint="eastAsia"/>
          <w:bCs/>
          <w:kern w:val="0"/>
        </w:rPr>
        <w:lastRenderedPageBreak/>
        <w:t>料向教務處提出申請，經承辦人查核並送相關學系系主任同意後，再送教務長核定。凡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申請轉所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，於公布之規定期限內，經原就讀研究所同意後，向教務處註冊組提出申請。各研究所依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自訂轉所申請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審查規定，審查各申請案，並將審查結果經指導教授及所長同意，送院長、教務長同意後，由教務處註冊組彙陳校長核定後公佈。</w:t>
      </w:r>
    </w:p>
    <w:p w:rsidR="008F5F48" w:rsidRPr="00DD329B" w:rsidRDefault="008F5F48" w:rsidP="006B2C10">
      <w:pPr>
        <w:spacing w:line="400" w:lineRule="exact"/>
        <w:ind w:leftChars="400" w:left="96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轉系、所或學位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學程經核定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者，不得申請變更或撤銷。轉系、所或學位學程之學生，應依本校相關規定申請學分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採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計並需完成轉入系、所或學位學程之畢業條件，始得畢業。申請未經通過者，</w:t>
      </w:r>
      <w:proofErr w:type="gramStart"/>
      <w:r w:rsidRPr="00DD329B">
        <w:rPr>
          <w:rFonts w:ascii="標楷體" w:eastAsia="標楷體" w:hAnsi="標楷體" w:cs="標楷體,Bold" w:hint="eastAsia"/>
          <w:bCs/>
          <w:kern w:val="0"/>
        </w:rPr>
        <w:t>仍回原系</w:t>
      </w:r>
      <w:proofErr w:type="gramEnd"/>
      <w:r w:rsidRPr="00DD329B">
        <w:rPr>
          <w:rFonts w:ascii="標楷體" w:eastAsia="標楷體" w:hAnsi="標楷體" w:cs="標楷體,Bold" w:hint="eastAsia"/>
          <w:bCs/>
          <w:kern w:val="0"/>
        </w:rPr>
        <w:t>、所或學位學程就讀。</w:t>
      </w:r>
    </w:p>
    <w:p w:rsidR="008F5F48" w:rsidRPr="00DD329B" w:rsidRDefault="008F5F48" w:rsidP="006B2C10">
      <w:pPr>
        <w:spacing w:line="400" w:lineRule="exact"/>
        <w:ind w:left="840" w:hangingChars="350" w:hanging="84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第七條 各學系（所、學位學程）辦理轉系（所、學位學程）後該系（所、學位學程）學生名額，以不超過該系（所、學位學程）原核定及分發新生名額之二成為原則。</w:t>
      </w:r>
    </w:p>
    <w:p w:rsidR="008F5F48" w:rsidRPr="00DD329B" w:rsidRDefault="008F5F48" w:rsidP="006B2C10">
      <w:pPr>
        <w:spacing w:line="400" w:lineRule="exact"/>
        <w:ind w:left="48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第八條 本辦法如有未盡事宜，悉依教育部有關之法令及本校學則規定辦理。</w:t>
      </w:r>
    </w:p>
    <w:p w:rsidR="008F5F48" w:rsidRPr="00DD329B" w:rsidRDefault="008F5F48" w:rsidP="006B2C10">
      <w:pPr>
        <w:spacing w:line="400" w:lineRule="exact"/>
        <w:ind w:left="480" w:hangingChars="200" w:hanging="480"/>
        <w:rPr>
          <w:rFonts w:ascii="標楷體" w:eastAsia="標楷體" w:hAnsi="標楷體" w:cs="標楷體,Bold"/>
          <w:bCs/>
          <w:kern w:val="0"/>
        </w:rPr>
      </w:pPr>
      <w:r w:rsidRPr="00DD329B">
        <w:rPr>
          <w:rFonts w:ascii="標楷體" w:eastAsia="標楷體" w:hAnsi="標楷體" w:cs="標楷體,Bold" w:hint="eastAsia"/>
          <w:bCs/>
          <w:kern w:val="0"/>
        </w:rPr>
        <w:t>第九條 本辦法經教務會議通過，陳請校長核定後發布實施，並報請教育部備查，修正時亦同。</w:t>
      </w:r>
    </w:p>
    <w:p w:rsidR="00F31BA5" w:rsidRDefault="00F31BA5">
      <w:pPr>
        <w:sectPr w:rsidR="00F31BA5" w:rsidSect="00B02DE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31BA5" w:rsidRPr="008F5F48" w:rsidRDefault="00F31BA5" w:rsidP="00F31B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F5F48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373D" wp14:editId="2F1ED7BB">
                <wp:simplePos x="0" y="0"/>
                <wp:positionH relativeFrom="column">
                  <wp:posOffset>0</wp:posOffset>
                </wp:positionH>
                <wp:positionV relativeFrom="paragraph">
                  <wp:posOffset>-375285</wp:posOffset>
                </wp:positionV>
                <wp:extent cx="18383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A5" w:rsidRDefault="00F31BA5" w:rsidP="00F3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附表1 條文修正對照表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9.55pt;width:14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pGPAIAAFQEAAAOAAAAZHJzL2Uyb0RvYy54bWysVF2O0zAQfkfiDpbfadq0hW7UdLV0KUJa&#10;fqSFAziOk1g4HmO7TZYLIHGA5ZkDcAAOtHsOxk63W37EA8IP1kxm/M3MNzNZnvatIjthnQSd08lo&#10;TInQHEqp65y+e7t5tKDEeaZLpkCLnF4JR09XDx8sO5OJFBpQpbAEQbTLOpPTxnuTJYnjjWiZG4ER&#10;Go0V2JZ5VG2dlJZ1iN6qJB2PHycd2NJY4MI5/Ho+GOkq4leV4P51VTnhicop5ubjbeNdhDtZLVlW&#10;W2YayfdpsH/IomVSY9AD1DnzjGyt/A2qldyCg8qPOLQJVJXkItaA1UzGv1Rz2TAjYi1IjjMHmtz/&#10;g+Wvdm8skWVOU0o0a7FFt9efbr59ub3+fvP1M0kDQ51xGTpeGnT1/VPosdOxWmcugL93RMO6YboW&#10;Z9ZC1whWYoaT8DI5ejrguABSdC+hxFBs6yEC9ZVtA31ICEF07NTVoTui94SHkIvpYprOKeFom05m&#10;QQ4hWHb32ljnnwtoSRByarH7EZ3tLpwfXO9cQjAHSpYbqVRUbF2slSU7hpOyiWeP/pOb0qTL6ckc&#10;Y/8dYhzPnyBa6XHklWxzujg4sSzQ9kyXmCbLPJNqkLE6pfc8BuoGEn1f9OgYyC2gvEJGLQyjjauI&#10;QgP2IyUdjnVO3Ycts4IS9UJjV04ms1nYg6jM5k9SVOyxpTi2MM0RKqeekkFc+2F3tsbKusFIwxxo&#10;OMNOVjKSfJ/VPm8c3dim/ZqF3TjWo9f9z2D1AwAA//8DAFBLAwQUAAYACAAAACEAl8b5Q94AAAAH&#10;AQAADwAAAGRycy9kb3ducmV2LnhtbEyPwU7DMBBE70j8g7VIXFDrtNA0CXEqhASCG5QKrm68TSLi&#10;dbDdNPw9ywmOOzOaeVtuJtuLEX3oHClYzBMQSLUzHTUKdm8PswxEiJqM7h2hgm8MsKnOz0pdGHei&#10;Vxy3sRFcQqHQCtoYh0LKULdodZi7AYm9g/NWRz59I43XJy63vVwmSSqt7ogXWj3gfYv15/ZoFWQ3&#10;T+NHeL5+ea/TQ5/Hq/X4+OWVuryY7m5BRJziXxh+8RkdKmbauyOZIHoF/EhUMFvlCxBsL7N8BWLP&#10;Sp6CrEr5n7/6AQAA//8DAFBLAQItABQABgAIAAAAIQC2gziS/gAAAOEBAAATAAAAAAAAAAAAAAAA&#10;AAAAAABbQ29udGVudF9UeXBlc10ueG1sUEsBAi0AFAAGAAgAAAAhADj9If/WAAAAlAEAAAsAAAAA&#10;AAAAAAAAAAAALwEAAF9yZWxzLy5yZWxzUEsBAi0AFAAGAAgAAAAhAJnwqkY8AgAAVAQAAA4AAAAA&#10;AAAAAAAAAAAALgIAAGRycy9lMm9Eb2MueG1sUEsBAi0AFAAGAAgAAAAhAJfG+UPeAAAABwEAAA8A&#10;AAAAAAAAAAAAAAAAlgQAAGRycy9kb3ducmV2LnhtbFBLBQYAAAAABAAEAPMAAAChBQAAAAA=&#10;">
                <v:textbox>
                  <w:txbxContent>
                    <w:p w:rsidR="00F31BA5" w:rsidRDefault="00F31BA5" w:rsidP="00F31B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附表1 條文修正對照表</w:t>
                      </w:r>
                    </w:p>
                  </w:txbxContent>
                </v:textbox>
              </v:shape>
            </w:pict>
          </mc:Fallback>
        </mc:AlternateContent>
      </w:r>
      <w:r w:rsidRPr="008F5F48">
        <w:rPr>
          <w:rFonts w:ascii="標楷體" w:eastAsia="標楷體" w:hAnsi="標楷體" w:hint="eastAsia"/>
          <w:b/>
          <w:bCs/>
          <w:sz w:val="36"/>
          <w:szCs w:val="36"/>
        </w:rPr>
        <w:t>1067-台灣首府大學-109-學生轉系（所、學位學程）辦法-</w:t>
      </w:r>
    </w:p>
    <w:p w:rsidR="00F31BA5" w:rsidRPr="008F5F48" w:rsidRDefault="00F31BA5" w:rsidP="00F31BA5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F5F48">
        <w:rPr>
          <w:rFonts w:ascii="標楷體" w:eastAsia="標楷體" w:hAnsi="標楷體" w:hint="eastAsia"/>
          <w:b/>
          <w:bCs/>
          <w:sz w:val="36"/>
          <w:szCs w:val="36"/>
        </w:rPr>
        <w:t>條文修正對照表</w:t>
      </w:r>
    </w:p>
    <w:p w:rsidR="00F31BA5" w:rsidRPr="00B02DE9" w:rsidRDefault="00F31BA5" w:rsidP="00F31BA5">
      <w:pPr>
        <w:wordWrap w:val="0"/>
        <w:snapToGrid w:val="0"/>
        <w:spacing w:before="20"/>
        <w:jc w:val="right"/>
        <w:rPr>
          <w:rFonts w:ascii="標楷體" w:eastAsia="標楷體" w:hAnsi="標楷體"/>
          <w:snapToGrid w:val="0"/>
          <w:kern w:val="0"/>
          <w:sz w:val="20"/>
        </w:rPr>
      </w:pPr>
    </w:p>
    <w:tbl>
      <w:tblPr>
        <w:tblW w:w="9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5"/>
        <w:gridCol w:w="4046"/>
        <w:gridCol w:w="1596"/>
      </w:tblGrid>
      <w:tr w:rsidR="00F31BA5" w:rsidTr="000C683B">
        <w:trPr>
          <w:trHeight w:val="454"/>
        </w:trPr>
        <w:tc>
          <w:tcPr>
            <w:tcW w:w="4045" w:type="dxa"/>
            <w:vAlign w:val="center"/>
          </w:tcPr>
          <w:p w:rsidR="00F31BA5" w:rsidRDefault="00F31BA5" w:rsidP="000C68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修正後條文</w:t>
            </w:r>
          </w:p>
        </w:tc>
        <w:tc>
          <w:tcPr>
            <w:tcW w:w="4046" w:type="dxa"/>
            <w:vAlign w:val="center"/>
          </w:tcPr>
          <w:p w:rsidR="00F31BA5" w:rsidRDefault="00F31BA5" w:rsidP="000C68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原條文</w:t>
            </w:r>
          </w:p>
        </w:tc>
        <w:tc>
          <w:tcPr>
            <w:tcW w:w="1596" w:type="dxa"/>
            <w:vAlign w:val="center"/>
          </w:tcPr>
          <w:p w:rsidR="00F31BA5" w:rsidRDefault="00F31BA5" w:rsidP="000C683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F31BA5" w:rsidRPr="00DA6A22" w:rsidTr="000C683B">
        <w:trPr>
          <w:trHeight w:val="1134"/>
        </w:trPr>
        <w:tc>
          <w:tcPr>
            <w:tcW w:w="4045" w:type="dxa"/>
          </w:tcPr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第二條 本校學士班學生申請轉系（學位學程）得應符合下列規定：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一、修業滿</w:t>
            </w:r>
            <w:proofErr w:type="gramStart"/>
            <w:r w:rsidRPr="006B5047">
              <w:rPr>
                <w:rFonts w:ascii="標楷體" w:eastAsia="標楷體" w:hAnsi="標楷體" w:hint="eastAsia"/>
                <w:snapToGrid w:val="0"/>
              </w:rPr>
              <w:t>一</w:t>
            </w:r>
            <w:proofErr w:type="gramEnd"/>
            <w:r w:rsidRPr="006B5047">
              <w:rPr>
                <w:rFonts w:ascii="標楷體" w:eastAsia="標楷體" w:hAnsi="標楷體" w:hint="eastAsia"/>
                <w:snapToGrid w:val="0"/>
              </w:rPr>
              <w:t xml:space="preserve">學年者，得轉入各學系二年級就讀。 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二、修業滿二學年者，得轉入性質相近學系三年級就讀或性質</w:t>
            </w:r>
            <w:proofErr w:type="gramStart"/>
            <w:r w:rsidRPr="006B5047">
              <w:rPr>
                <w:rFonts w:ascii="標楷體" w:eastAsia="標楷體" w:hAnsi="標楷體" w:hint="eastAsia"/>
                <w:snapToGrid w:val="0"/>
              </w:rPr>
              <w:t>不</w:t>
            </w:r>
            <w:proofErr w:type="gramEnd"/>
            <w:r w:rsidRPr="006B5047">
              <w:rPr>
                <w:rFonts w:ascii="標楷體" w:eastAsia="標楷體" w:hAnsi="標楷體" w:hint="eastAsia"/>
                <w:snapToGrid w:val="0"/>
              </w:rPr>
              <w:t>同學 系二年級就讀。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三、修業滿三學年者，如有特殊原因得轉入性質相近學系三年級就讀。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四、申請轉入各學系三年級者，在抵免相當學分後，於修業年限內（不包括延長年限）依照學期限修學分規定，應</w:t>
            </w:r>
            <w:proofErr w:type="gramStart"/>
            <w:r w:rsidRPr="006B5047">
              <w:rPr>
                <w:rFonts w:ascii="標楷體" w:eastAsia="標楷體" w:hAnsi="標楷體" w:hint="eastAsia"/>
                <w:snapToGrid w:val="0"/>
              </w:rPr>
              <w:t>修畢轉入學</w:t>
            </w:r>
            <w:proofErr w:type="gramEnd"/>
            <w:r w:rsidRPr="006B5047">
              <w:rPr>
                <w:rFonts w:ascii="標楷體" w:eastAsia="標楷體" w:hAnsi="標楷體" w:hint="eastAsia"/>
                <w:snapToGrid w:val="0"/>
              </w:rPr>
              <w:t>系最低畢 業學分；否則應降級轉入二年級。</w:t>
            </w:r>
          </w:p>
          <w:p w:rsidR="00F31BA5" w:rsidRPr="006B5047" w:rsidRDefault="00F31BA5" w:rsidP="000C683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6" w:type="dxa"/>
          </w:tcPr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第二條 本校學士班學生申請轉系（學位學程）得應符合下列規定：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一、修業滿</w:t>
            </w:r>
            <w:proofErr w:type="gramStart"/>
            <w:r w:rsidRPr="006B5047">
              <w:rPr>
                <w:rFonts w:ascii="標楷體" w:eastAsia="標楷體" w:hAnsi="標楷體" w:hint="eastAsia"/>
                <w:snapToGrid w:val="0"/>
              </w:rPr>
              <w:t>一</w:t>
            </w:r>
            <w:proofErr w:type="gramEnd"/>
            <w:r w:rsidRPr="006B5047">
              <w:rPr>
                <w:rFonts w:ascii="標楷體" w:eastAsia="標楷體" w:hAnsi="標楷體" w:hint="eastAsia"/>
                <w:snapToGrid w:val="0"/>
              </w:rPr>
              <w:t xml:space="preserve">學年者，得轉入各學系二年級就讀。 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二、修業滿二學年者，得轉入性質相近學系三年級就讀或性質</w:t>
            </w:r>
            <w:proofErr w:type="gramStart"/>
            <w:r w:rsidRPr="006B5047">
              <w:rPr>
                <w:rFonts w:ascii="標楷體" w:eastAsia="標楷體" w:hAnsi="標楷體" w:hint="eastAsia"/>
                <w:snapToGrid w:val="0"/>
              </w:rPr>
              <w:t>不</w:t>
            </w:r>
            <w:proofErr w:type="gramEnd"/>
            <w:r w:rsidRPr="006B5047">
              <w:rPr>
                <w:rFonts w:ascii="標楷體" w:eastAsia="標楷體" w:hAnsi="標楷體" w:hint="eastAsia"/>
                <w:snapToGrid w:val="0"/>
              </w:rPr>
              <w:t>同學 系二年級就讀。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三、修業滿三學年者，如有特殊原因得轉入性質相近學系三年級就讀。</w:t>
            </w:r>
          </w:p>
          <w:p w:rsidR="00F31BA5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snapToGrid w:val="0"/>
              </w:rPr>
            </w:pPr>
            <w:r w:rsidRPr="006B5047">
              <w:rPr>
                <w:rFonts w:ascii="標楷體" w:eastAsia="標楷體" w:hAnsi="標楷體" w:hint="eastAsia"/>
                <w:snapToGrid w:val="0"/>
              </w:rPr>
              <w:t>四、申請轉入各學系三年級者，在抵免相當學分後，於修業年限內（不包括延長年限）依照學期限修學分規定，應</w:t>
            </w:r>
            <w:proofErr w:type="gramStart"/>
            <w:r w:rsidRPr="006B5047">
              <w:rPr>
                <w:rFonts w:ascii="標楷體" w:eastAsia="標楷體" w:hAnsi="標楷體" w:hint="eastAsia"/>
                <w:snapToGrid w:val="0"/>
              </w:rPr>
              <w:t>修畢轉入學</w:t>
            </w:r>
            <w:proofErr w:type="gramEnd"/>
            <w:r w:rsidRPr="006B5047">
              <w:rPr>
                <w:rFonts w:ascii="標楷體" w:eastAsia="標楷體" w:hAnsi="標楷體" w:hint="eastAsia"/>
                <w:snapToGrid w:val="0"/>
              </w:rPr>
              <w:t>系最低畢 業學分；否則應降級轉入二年級。</w:t>
            </w:r>
          </w:p>
          <w:p w:rsidR="00F31BA5" w:rsidRPr="0016306B" w:rsidRDefault="00F31BA5" w:rsidP="000C683B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b/>
                <w:strike/>
                <w:snapToGrid w:val="0"/>
              </w:rPr>
            </w:pPr>
            <w:r w:rsidRPr="0016306B">
              <w:rPr>
                <w:rFonts w:ascii="標楷體" w:eastAsia="標楷體" w:hAnsi="標楷體" w:hint="eastAsia"/>
                <w:b/>
                <w:strike/>
                <w:snapToGrid w:val="0"/>
              </w:rPr>
              <w:t>五、學士班、進修</w:t>
            </w:r>
            <w:proofErr w:type="gramStart"/>
            <w:r w:rsidRPr="0016306B">
              <w:rPr>
                <w:rFonts w:ascii="標楷體" w:eastAsia="標楷體" w:hAnsi="標楷體" w:hint="eastAsia"/>
                <w:b/>
                <w:strike/>
                <w:snapToGrid w:val="0"/>
              </w:rPr>
              <w:t>學士班互轉</w:t>
            </w:r>
            <w:proofErr w:type="gramEnd"/>
            <w:r w:rsidRPr="0016306B">
              <w:rPr>
                <w:rFonts w:ascii="標楷體" w:eastAsia="標楷體" w:hAnsi="標楷體" w:hint="eastAsia"/>
                <w:b/>
                <w:strike/>
                <w:snapToGrid w:val="0"/>
              </w:rPr>
              <w:t xml:space="preserve">之規定另訂之。 </w:t>
            </w:r>
          </w:p>
        </w:tc>
        <w:tc>
          <w:tcPr>
            <w:tcW w:w="1596" w:type="dxa"/>
          </w:tcPr>
          <w:p w:rsidR="00F31BA5" w:rsidRPr="00D23D3A" w:rsidRDefault="00F31BA5" w:rsidP="000C683B">
            <w:pPr>
              <w:snapToGrid w:val="0"/>
              <w:rPr>
                <w:rFonts w:ascii="標楷體" w:eastAsia="標楷體" w:hAnsi="標楷體"/>
              </w:rPr>
            </w:pPr>
            <w:r w:rsidRPr="00D23D3A">
              <w:rPr>
                <w:rFonts w:ascii="標楷體" w:eastAsia="標楷體" w:hAnsi="標楷體" w:hint="eastAsia"/>
              </w:rPr>
              <w:t>依據教育部109年12月10日</w:t>
            </w:r>
            <w:proofErr w:type="gramStart"/>
            <w:r w:rsidRPr="00D23D3A">
              <w:rPr>
                <w:rFonts w:ascii="標楷體" w:eastAsia="標楷體" w:hAnsi="標楷體" w:hint="eastAsia"/>
              </w:rPr>
              <w:t>臺</w:t>
            </w:r>
            <w:proofErr w:type="gramEnd"/>
            <w:r w:rsidRPr="00D23D3A">
              <w:rPr>
                <w:rFonts w:ascii="標楷體" w:eastAsia="標楷體" w:hAnsi="標楷體" w:hint="eastAsia"/>
              </w:rPr>
              <w:t>教高(二)字第1090175929號來函規定110學年度起禁止大學於校內不同學制間之轉系，倘遇有缺額應透過轉學招生方式辦理，</w:t>
            </w:r>
            <w:proofErr w:type="gramStart"/>
            <w:r w:rsidRPr="00D23D3A">
              <w:rPr>
                <w:rFonts w:ascii="標楷體" w:eastAsia="標楷體" w:hAnsi="標楷體" w:hint="eastAsia"/>
              </w:rPr>
              <w:t>爰刪</w:t>
            </w:r>
            <w:proofErr w:type="gramEnd"/>
            <w:r w:rsidRPr="00D23D3A">
              <w:rPr>
                <w:rFonts w:ascii="標楷體" w:eastAsia="標楷體" w:hAnsi="標楷體" w:hint="eastAsia"/>
              </w:rPr>
              <w:t>第五項規定。</w:t>
            </w:r>
          </w:p>
        </w:tc>
      </w:tr>
    </w:tbl>
    <w:p w:rsidR="00B0740F" w:rsidRPr="00F31BA5" w:rsidRDefault="00B0740F"/>
    <w:sectPr w:rsidR="00B0740F" w:rsidRPr="00F31BA5" w:rsidSect="00B02D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D7" w:rsidRDefault="00B372D7" w:rsidP="00B02DE9">
      <w:r>
        <w:separator/>
      </w:r>
    </w:p>
  </w:endnote>
  <w:endnote w:type="continuationSeparator" w:id="0">
    <w:p w:rsidR="00B372D7" w:rsidRDefault="00B372D7" w:rsidP="00B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Hanyi Senty Lotu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D7" w:rsidRDefault="00B372D7" w:rsidP="00B02DE9">
      <w:r>
        <w:separator/>
      </w:r>
    </w:p>
  </w:footnote>
  <w:footnote w:type="continuationSeparator" w:id="0">
    <w:p w:rsidR="00B372D7" w:rsidRDefault="00B372D7" w:rsidP="00B0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E9"/>
    <w:rsid w:val="006B2C10"/>
    <w:rsid w:val="0070692D"/>
    <w:rsid w:val="008F5F48"/>
    <w:rsid w:val="00B02DE9"/>
    <w:rsid w:val="00B0740F"/>
    <w:rsid w:val="00B372D7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DE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paragraph" w:styleId="a3">
    <w:name w:val="header"/>
    <w:basedOn w:val="a"/>
    <w:link w:val="a4"/>
    <w:uiPriority w:val="99"/>
    <w:unhideWhenUsed/>
    <w:rsid w:val="00B0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D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D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DE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paragraph" w:styleId="a3">
    <w:name w:val="header"/>
    <w:basedOn w:val="a"/>
    <w:link w:val="a4"/>
    <w:uiPriority w:val="99"/>
    <w:unhideWhenUsed/>
    <w:rsid w:val="00B0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D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D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4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2021-02-22T02:06:00Z</cp:lastPrinted>
  <dcterms:created xsi:type="dcterms:W3CDTF">2021-02-22T02:09:00Z</dcterms:created>
  <dcterms:modified xsi:type="dcterms:W3CDTF">2021-02-22T02:09:00Z</dcterms:modified>
</cp:coreProperties>
</file>