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73" w:rsidRPr="00E7743D" w:rsidRDefault="005E5673" w:rsidP="005E5673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7743D">
        <w:rPr>
          <w:rFonts w:ascii="微軟正黑體" w:eastAsia="微軟正黑體" w:hAnsi="微軟正黑體" w:hint="eastAsia"/>
          <w:b/>
          <w:sz w:val="32"/>
          <w:szCs w:val="32"/>
        </w:rPr>
        <w:t>台灣首府大學</w:t>
      </w:r>
    </w:p>
    <w:tbl>
      <w:tblPr>
        <w:tblStyle w:val="a3"/>
        <w:tblpPr w:leftFromText="180" w:rightFromText="180" w:vertAnchor="text" w:horzAnchor="margin" w:tblpY="4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1624"/>
      </w:tblGrid>
      <w:tr w:rsidR="00F83C16" w:rsidRPr="005E5673" w:rsidTr="00F83C16">
        <w:tc>
          <w:tcPr>
            <w:tcW w:w="1951" w:type="dxa"/>
            <w:vAlign w:val="center"/>
          </w:tcPr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領證日期</w:t>
            </w:r>
          </w:p>
        </w:tc>
        <w:tc>
          <w:tcPr>
            <w:tcW w:w="11624" w:type="dxa"/>
          </w:tcPr>
          <w:p w:rsidR="00F83C16" w:rsidRPr="005E5673" w:rsidRDefault="00F83C16" w:rsidP="00F83C1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第一階段：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23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日(星期</w:t>
            </w:r>
            <w:r>
              <w:rPr>
                <w:rFonts w:ascii="微軟正黑體" w:eastAsia="微軟正黑體" w:hAnsi="微軟正黑體" w:hint="eastAsia"/>
                <w:szCs w:val="24"/>
              </w:rPr>
              <w:t>六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)</w:t>
            </w:r>
            <w:r>
              <w:rPr>
                <w:rFonts w:ascii="微軟正黑體" w:eastAsia="微軟正黑體" w:hAnsi="微軟正黑體" w:hint="eastAsia"/>
                <w:szCs w:val="24"/>
              </w:rPr>
              <w:t>，第二階段：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13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日(星期</w:t>
            </w: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F83C16" w:rsidRPr="005E5673" w:rsidTr="00F83C16">
        <w:tc>
          <w:tcPr>
            <w:tcW w:w="1951" w:type="dxa"/>
            <w:vAlign w:val="center"/>
          </w:tcPr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領證時間</w:t>
            </w:r>
          </w:p>
        </w:tc>
        <w:tc>
          <w:tcPr>
            <w:tcW w:w="11624" w:type="dxa"/>
          </w:tcPr>
          <w:p w:rsidR="00F83C16" w:rsidRDefault="00F83C16" w:rsidP="00F83C1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第一階段：6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23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。第二階段：7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13</w:t>
            </w:r>
            <w:r w:rsidRPr="005E5673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09:00起。</w:t>
            </w:r>
          </w:p>
          <w:p w:rsidR="00F83C16" w:rsidRPr="005E5673" w:rsidRDefault="00F83C16" w:rsidP="00F83C16">
            <w:pPr>
              <w:spacing w:line="400" w:lineRule="exact"/>
              <w:rPr>
                <w:rFonts w:ascii="微軟正黑體" w:eastAsia="微軟正黑體" w:hAnsi="微軟正黑體"/>
                <w:szCs w:val="24"/>
                <w:lang w:eastAsia="ja-JP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起始日起，工作日之每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星期一</w:t>
            </w:r>
            <w:r>
              <w:rPr>
                <w:rFonts w:ascii="微軟正黑體" w:eastAsia="微軟正黑體" w:hAnsi="微軟正黑體" w:hint="eastAsia"/>
                <w:szCs w:val="24"/>
              </w:rPr>
              <w:t>至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星期五</w:t>
            </w:r>
            <w:r>
              <w:rPr>
                <w:rFonts w:ascii="新細明體" w:eastAsia="新細明體" w:hAnsi="新細明體" w:hint="eastAsia"/>
                <w:szCs w:val="24"/>
                <w:lang w:eastAsia="ja-JP"/>
              </w:rPr>
              <w:t>・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上午</w:t>
            </w:r>
            <w:r>
              <w:rPr>
                <w:rFonts w:ascii="微軟正黑體" w:eastAsia="微軟正黑體" w:hAnsi="微軟正黑體" w:hint="eastAsia"/>
                <w:szCs w:val="24"/>
              </w:rPr>
              <w:t>８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:00~12:00 下午</w:t>
            </w:r>
            <w:r>
              <w:rPr>
                <w:rFonts w:ascii="微軟正黑體" w:eastAsia="微軟正黑體" w:hAnsi="微軟正黑體" w:hint="eastAsia"/>
                <w:szCs w:val="24"/>
              </w:rPr>
              <w:t>１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:00~</w:t>
            </w:r>
            <w:r>
              <w:rPr>
                <w:rFonts w:ascii="微軟正黑體" w:eastAsia="微軟正黑體" w:hAnsi="微軟正黑體" w:hint="eastAsia"/>
                <w:szCs w:val="24"/>
              </w:rPr>
              <w:t>５</w:t>
            </w:r>
            <w:r>
              <w:rPr>
                <w:rFonts w:ascii="微軟正黑體" w:eastAsia="微軟正黑體" w:hAnsi="微軟正黑體" w:hint="eastAsia"/>
                <w:szCs w:val="24"/>
                <w:lang w:eastAsia="ja-JP"/>
              </w:rPr>
              <w:t>:00</w:t>
            </w:r>
            <w:r>
              <w:rPr>
                <w:rFonts w:ascii="微軟正黑體" w:eastAsia="微軟正黑體" w:hAnsi="微軟正黑體" w:hint="eastAsia"/>
                <w:szCs w:val="24"/>
              </w:rPr>
              <w:t>皆可領取）</w:t>
            </w:r>
          </w:p>
        </w:tc>
      </w:tr>
      <w:tr w:rsidR="00F83C16" w:rsidRPr="005E5673" w:rsidTr="00F83C16">
        <w:tc>
          <w:tcPr>
            <w:tcW w:w="1951" w:type="dxa"/>
            <w:vAlign w:val="center"/>
          </w:tcPr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領證地點</w:t>
            </w:r>
          </w:p>
        </w:tc>
        <w:tc>
          <w:tcPr>
            <w:tcW w:w="11624" w:type="dxa"/>
          </w:tcPr>
          <w:p w:rsidR="00F83C16" w:rsidRPr="005E5673" w:rsidRDefault="00F83C16" w:rsidP="00F83C1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E5673">
              <w:rPr>
                <w:rFonts w:ascii="微軟正黑體" w:eastAsia="微軟正黑體" w:hAnsi="微軟正黑體" w:hint="eastAsia"/>
                <w:szCs w:val="24"/>
              </w:rPr>
              <w:t>教務處註冊組</w:t>
            </w:r>
            <w:r>
              <w:rPr>
                <w:rFonts w:ascii="微軟正黑體" w:eastAsia="微軟正黑體" w:hAnsi="微軟正黑體" w:hint="eastAsia"/>
                <w:szCs w:val="24"/>
              </w:rPr>
              <w:t>（致宏樓一樓）</w:t>
            </w:r>
          </w:p>
        </w:tc>
      </w:tr>
      <w:tr w:rsidR="00F83C16" w:rsidRPr="005E5673" w:rsidTr="00F83C16">
        <w:tc>
          <w:tcPr>
            <w:tcW w:w="1951" w:type="dxa"/>
            <w:vAlign w:val="center"/>
          </w:tcPr>
          <w:p w:rsidR="00F83C16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領取畢業證書</w:t>
            </w:r>
          </w:p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</w:tc>
        <w:tc>
          <w:tcPr>
            <w:tcW w:w="11624" w:type="dxa"/>
          </w:tcPr>
          <w:p w:rsidR="00F83C16" w:rsidRPr="008E1BA7" w:rsidRDefault="00F83C16" w:rsidP="00F83C1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szCs w:val="24"/>
              </w:rPr>
            </w:pPr>
            <w:r w:rsidRPr="008E1BA7">
              <w:rPr>
                <w:rFonts w:ascii="微軟正黑體" w:eastAsia="微軟正黑體" w:hAnsi="微軟正黑體" w:hint="eastAsia"/>
                <w:szCs w:val="24"/>
              </w:rPr>
              <w:t>1.須先完成離校手續(請參考下表「離校手續審核事宜」之說明)</w:t>
            </w:r>
          </w:p>
          <w:p w:rsidR="00F83C16" w:rsidRPr="00643D8C" w:rsidRDefault="00F83C16" w:rsidP="00F83C1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b/>
                <w:szCs w:val="24"/>
              </w:rPr>
            </w:pPr>
            <w:r w:rsidRPr="008E1BA7">
              <w:rPr>
                <w:rFonts w:ascii="微軟正黑體" w:eastAsia="微軟正黑體" w:hAnsi="微軟正黑體" w:hint="eastAsia"/>
                <w:szCs w:val="24"/>
              </w:rPr>
              <w:t>2.本人親領：</w:t>
            </w:r>
            <w:proofErr w:type="gramStart"/>
            <w:r w:rsidRPr="006230A9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需備妥</w:t>
            </w:r>
            <w:proofErr w:type="gramEnd"/>
            <w:r w:rsidRPr="006230A9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「學生證」或「身份證」</w:t>
            </w:r>
          </w:p>
          <w:p w:rsidR="00F83C16" w:rsidRPr="008E1BA7" w:rsidRDefault="00F83C16" w:rsidP="00F83C1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szCs w:val="24"/>
              </w:rPr>
            </w:pPr>
            <w:r w:rsidRPr="008E1BA7">
              <w:rPr>
                <w:rFonts w:ascii="微軟正黑體" w:eastAsia="微軟正黑體" w:hAnsi="微軟正黑體" w:hint="eastAsia"/>
                <w:szCs w:val="24"/>
              </w:rPr>
              <w:t>3.如因故得委託他人代領者，需附雙方「簽章」(簽名加上蓋章)之委託書(委託書可至本校教務處註冊組網頁下載)，方可領取。</w:t>
            </w:r>
          </w:p>
        </w:tc>
      </w:tr>
      <w:tr w:rsidR="00F83C16" w:rsidRPr="005E5673" w:rsidTr="00F83C16">
        <w:tc>
          <w:tcPr>
            <w:tcW w:w="1951" w:type="dxa"/>
            <w:vAlign w:val="center"/>
          </w:tcPr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離校手續</w:t>
            </w:r>
          </w:p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查詢方式</w:t>
            </w:r>
          </w:p>
        </w:tc>
        <w:tc>
          <w:tcPr>
            <w:tcW w:w="11624" w:type="dxa"/>
          </w:tcPr>
          <w:p w:rsidR="00F83C16" w:rsidRPr="008E1BA7" w:rsidRDefault="00F83C16" w:rsidP="00F83C1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E1BA7">
              <w:rPr>
                <w:rFonts w:ascii="微軟正黑體" w:eastAsia="微軟正黑體" w:hAnsi="微軟正黑體" w:hint="eastAsia"/>
                <w:szCs w:val="24"/>
              </w:rPr>
              <w:t>1.畢業離校審查結果查詢方法：</w:t>
            </w:r>
          </w:p>
          <w:p w:rsidR="00F83C16" w:rsidRPr="008E1BA7" w:rsidRDefault="00F83C16" w:rsidP="00F83C1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8E1BA7">
              <w:rPr>
                <w:rFonts w:ascii="微軟正黑體" w:eastAsia="微軟正黑體" w:hAnsi="微軟正黑體" w:hint="eastAsia"/>
                <w:szCs w:val="24"/>
              </w:rPr>
              <w:t>請畢業生</w:t>
            </w:r>
            <w:proofErr w:type="gramStart"/>
            <w:r w:rsidRPr="008E1BA7">
              <w:rPr>
                <w:rFonts w:ascii="微軟正黑體" w:eastAsia="微軟正黑體" w:hAnsi="微軟正黑體" w:hint="eastAsia"/>
                <w:szCs w:val="24"/>
              </w:rPr>
              <w:t>逕</w:t>
            </w:r>
            <w:proofErr w:type="gramEnd"/>
            <w:r w:rsidRPr="008E1BA7">
              <w:rPr>
                <w:rFonts w:ascii="微軟正黑體" w:eastAsia="微軟正黑體" w:hAnsi="微軟正黑體" w:hint="eastAsia"/>
                <w:szCs w:val="24"/>
              </w:rPr>
              <w:t>至校務系統查詢各項「未完成」之離校單位。</w:t>
            </w:r>
          </w:p>
          <w:p w:rsidR="00F83C16" w:rsidRPr="008E1BA7" w:rsidRDefault="00F83C16" w:rsidP="00F83C1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8E1BA7">
              <w:rPr>
                <w:rFonts w:ascii="微軟正黑體" w:eastAsia="微軟正黑體" w:hAnsi="微軟正黑體" w:hint="eastAsia"/>
                <w:szCs w:val="24"/>
              </w:rPr>
              <w:t>查詢方法：進入「校務系統」→點選「查詢」→點選「教務資訊查詢」→點選「學生個人畢業離校審核結果」。</w:t>
            </w:r>
          </w:p>
          <w:p w:rsidR="00F83C16" w:rsidRPr="008E1BA7" w:rsidRDefault="00F83C16" w:rsidP="00F83C1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szCs w:val="24"/>
              </w:rPr>
            </w:pPr>
            <w:r w:rsidRPr="008E1BA7">
              <w:rPr>
                <w:rFonts w:ascii="微軟正黑體" w:eastAsia="微軟正黑體" w:hAnsi="微軟正黑體" w:hint="eastAsia"/>
                <w:szCs w:val="24"/>
              </w:rPr>
              <w:t>2.審查結果欄位說明：若「審查結果」為「通過」則表示已符合該單位審核</w:t>
            </w:r>
            <w:r>
              <w:rPr>
                <w:rFonts w:ascii="微軟正黑體" w:eastAsia="微軟正黑體" w:hAnsi="微軟正黑體" w:hint="eastAsia"/>
                <w:szCs w:val="24"/>
              </w:rPr>
              <w:t>事項</w:t>
            </w:r>
            <w:r w:rsidRPr="008E1BA7">
              <w:rPr>
                <w:rFonts w:ascii="微軟正黑體" w:eastAsia="微軟正黑體" w:hAnsi="微軟正黑體" w:hint="eastAsia"/>
                <w:szCs w:val="24"/>
              </w:rPr>
              <w:t>；若該欄位為「空白」則表示尚未符合該單位之</w:t>
            </w:r>
            <w:r>
              <w:rPr>
                <w:rFonts w:ascii="微軟正黑體" w:eastAsia="微軟正黑體" w:hAnsi="微軟正黑體" w:hint="eastAsia"/>
                <w:szCs w:val="24"/>
              </w:rPr>
              <w:t>審核事項</w:t>
            </w:r>
            <w:r w:rsidRPr="008E1BA7"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爰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請同學</w:t>
            </w:r>
            <w:r w:rsidRPr="008E1BA7">
              <w:rPr>
                <w:rFonts w:ascii="微軟正黑體" w:eastAsia="微軟正黑體" w:hAnsi="微軟正黑體" w:hint="eastAsia"/>
                <w:szCs w:val="24"/>
              </w:rPr>
              <w:t>於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到</w:t>
            </w:r>
            <w:r w:rsidRPr="008E1BA7">
              <w:rPr>
                <w:rFonts w:ascii="微軟正黑體" w:eastAsia="微軟正黑體" w:hAnsi="微軟正黑體" w:hint="eastAsia"/>
                <w:szCs w:val="24"/>
              </w:rPr>
              <w:t>校領證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前先</w:t>
            </w:r>
            <w:r w:rsidRPr="008E1BA7">
              <w:rPr>
                <w:rFonts w:ascii="微軟正黑體" w:eastAsia="微軟正黑體" w:hAnsi="微軟正黑體" w:hint="eastAsia"/>
                <w:szCs w:val="24"/>
              </w:rPr>
              <w:t>親洽該單位並</w:t>
            </w:r>
            <w:r>
              <w:rPr>
                <w:rFonts w:ascii="微軟正黑體" w:eastAsia="微軟正黑體" w:hAnsi="微軟正黑體" w:hint="eastAsia"/>
                <w:szCs w:val="24"/>
              </w:rPr>
              <w:t>辦妥</w:t>
            </w:r>
            <w:r w:rsidRPr="008E1BA7">
              <w:rPr>
                <w:rFonts w:ascii="微軟正黑體" w:eastAsia="微軟正黑體" w:hAnsi="微軟正黑體" w:hint="eastAsia"/>
                <w:szCs w:val="24"/>
              </w:rPr>
              <w:t>規定</w:t>
            </w:r>
            <w:r>
              <w:rPr>
                <w:rFonts w:ascii="微軟正黑體" w:eastAsia="微軟正黑體" w:hAnsi="微軟正黑體" w:hint="eastAsia"/>
                <w:szCs w:val="24"/>
              </w:rPr>
              <w:t>之離校程序。</w:t>
            </w:r>
          </w:p>
        </w:tc>
      </w:tr>
      <w:tr w:rsidR="00F83C16" w:rsidRPr="008E1BA7" w:rsidTr="00F83C16">
        <w:trPr>
          <w:trHeight w:val="8343"/>
        </w:trPr>
        <w:tc>
          <w:tcPr>
            <w:tcW w:w="1951" w:type="dxa"/>
            <w:vAlign w:val="center"/>
          </w:tcPr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離校手續</w:t>
            </w:r>
          </w:p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審核事宜</w:t>
            </w:r>
          </w:p>
        </w:tc>
        <w:tc>
          <w:tcPr>
            <w:tcW w:w="11624" w:type="dxa"/>
          </w:tcPr>
          <w:p w:rsidR="00F83C16" w:rsidRDefault="00F83C16" w:rsidP="00F83C1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tbl>
            <w:tblPr>
              <w:tblStyle w:val="a3"/>
              <w:tblW w:w="10475" w:type="dxa"/>
              <w:jc w:val="center"/>
              <w:tblLook w:val="04A0" w:firstRow="1" w:lastRow="0" w:firstColumn="1" w:lastColumn="0" w:noHBand="0" w:noVBand="1"/>
            </w:tblPr>
            <w:tblGrid>
              <w:gridCol w:w="2119"/>
              <w:gridCol w:w="6585"/>
              <w:gridCol w:w="1771"/>
            </w:tblGrid>
            <w:tr w:rsidR="00F83C16" w:rsidRPr="00D648DB" w:rsidTr="00643BB1">
              <w:trPr>
                <w:jc w:val="center"/>
              </w:trPr>
              <w:tc>
                <w:tcPr>
                  <w:tcW w:w="21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審查單位</w:t>
                  </w:r>
                </w:p>
              </w:tc>
              <w:tc>
                <w:tcPr>
                  <w:tcW w:w="65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審查事項</w:t>
                  </w:r>
                </w:p>
              </w:tc>
              <w:tc>
                <w:tcPr>
                  <w:tcW w:w="17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審查結果</w:t>
                  </w:r>
                </w:p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公告日期</w:t>
                  </w:r>
                </w:p>
              </w:tc>
            </w:tr>
            <w:tr w:rsidR="00F83C16" w:rsidTr="00643BB1">
              <w:trPr>
                <w:trHeight w:val="454"/>
                <w:jc w:val="center"/>
              </w:trPr>
              <w:tc>
                <w:tcPr>
                  <w:tcW w:w="2119" w:type="dxa"/>
                  <w:vMerge w:val="restart"/>
                  <w:shd w:val="clear" w:color="auto" w:fill="auto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通識中心</w:t>
                  </w:r>
                </w:p>
              </w:tc>
              <w:tc>
                <w:tcPr>
                  <w:tcW w:w="65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英語能力檢定</w:t>
                  </w:r>
                  <w:r w:rsidRPr="00E674BF">
                    <w:rPr>
                      <w:rFonts w:ascii="微軟正黑體" w:eastAsia="微軟正黑體" w:hAnsi="微軟正黑體" w:hint="eastAsia"/>
                      <w:szCs w:val="24"/>
                    </w:rPr>
                    <w:t>【僅大學日間部】</w:t>
                  </w:r>
                </w:p>
              </w:tc>
              <w:tc>
                <w:tcPr>
                  <w:tcW w:w="1771" w:type="dxa"/>
                  <w:vMerge w:val="restart"/>
                  <w:shd w:val="clear" w:color="auto" w:fill="auto"/>
                  <w:vAlign w:val="center"/>
                </w:tcPr>
                <w:p w:rsidR="00F83C16" w:rsidRDefault="00CB7E18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CB7E18">
                    <w:rPr>
                      <w:rFonts w:ascii="微軟正黑體" w:eastAsia="微軟正黑體" w:hAnsi="微軟正黑體" w:hint="eastAsia"/>
                      <w:sz w:val="22"/>
                      <w:szCs w:val="24"/>
                    </w:rPr>
                    <w:t>依電算中心及通識中心公告為主</w:t>
                  </w:r>
                </w:p>
              </w:tc>
            </w:tr>
            <w:tr w:rsidR="00F83C16" w:rsidTr="00643BB1">
              <w:trPr>
                <w:trHeight w:val="454"/>
                <w:jc w:val="center"/>
              </w:trPr>
              <w:tc>
                <w:tcPr>
                  <w:tcW w:w="211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65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電腦能力檢定</w:t>
                  </w:r>
                  <w:r w:rsidRPr="00E674BF">
                    <w:rPr>
                      <w:rFonts w:ascii="微軟正黑體" w:eastAsia="微軟正黑體" w:hAnsi="微軟正黑體" w:hint="eastAsia"/>
                      <w:szCs w:val="24"/>
                    </w:rPr>
                    <w:t>【僅大學日間部】</w:t>
                  </w:r>
                </w:p>
              </w:tc>
              <w:tc>
                <w:tcPr>
                  <w:tcW w:w="177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shd w:val="clear" w:color="auto" w:fill="auto"/>
                  <w:vAlign w:val="center"/>
                </w:tcPr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各系所</w:t>
                  </w:r>
                </w:p>
              </w:tc>
              <w:tc>
                <w:tcPr>
                  <w:tcW w:w="6585" w:type="dxa"/>
                  <w:shd w:val="clear" w:color="auto" w:fill="auto"/>
                  <w:vAlign w:val="center"/>
                </w:tcPr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1.繳還所借圖書及物品</w:t>
                  </w:r>
                </w:p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2.符合各系所畢業資格</w:t>
                  </w:r>
                </w:p>
              </w:tc>
              <w:tc>
                <w:tcPr>
                  <w:tcW w:w="1771" w:type="dxa"/>
                  <w:vMerge w:val="restart"/>
                  <w:shd w:val="clear" w:color="auto" w:fill="auto"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第一階段：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６</w:t>
                  </w:r>
                  <w:proofErr w:type="gramEnd"/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月</w:t>
                  </w:r>
                  <w:bookmarkStart w:id="0" w:name="_GoBack"/>
                  <w:bookmarkEnd w:id="0"/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14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日開放</w:t>
                  </w:r>
                </w:p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第二階段：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7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11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日開放</w:t>
                  </w: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shd w:val="clear" w:color="auto" w:fill="auto"/>
                  <w:vAlign w:val="center"/>
                </w:tcPr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通識中心</w:t>
                  </w:r>
                </w:p>
              </w:tc>
              <w:tc>
                <w:tcPr>
                  <w:tcW w:w="6585" w:type="dxa"/>
                  <w:shd w:val="clear" w:color="auto" w:fill="auto"/>
                  <w:vAlign w:val="center"/>
                </w:tcPr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符合通識中心畢業資料</w:t>
                  </w:r>
                </w:p>
              </w:tc>
              <w:tc>
                <w:tcPr>
                  <w:tcW w:w="1771" w:type="dxa"/>
                  <w:vMerge/>
                  <w:shd w:val="clear" w:color="auto" w:fill="auto"/>
                  <w:vAlign w:val="center"/>
                </w:tcPr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shd w:val="clear" w:color="auto" w:fill="auto"/>
                  <w:vAlign w:val="center"/>
                </w:tcPr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學</w:t>
                  </w:r>
                  <w:proofErr w:type="gramStart"/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務</w:t>
                  </w:r>
                  <w:proofErr w:type="gramEnd"/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處生輔組</w:t>
                  </w:r>
                </w:p>
              </w:tc>
              <w:tc>
                <w:tcPr>
                  <w:tcW w:w="6585" w:type="dxa"/>
                  <w:shd w:val="clear" w:color="auto" w:fill="auto"/>
                  <w:vAlign w:val="center"/>
                </w:tcPr>
                <w:p w:rsidR="00F83C16" w:rsidRPr="00BE3AA1" w:rsidRDefault="00F83C16" w:rsidP="00CB7E18">
                  <w:pPr>
                    <w:framePr w:hSpace="180" w:wrap="around" w:vAnchor="text" w:hAnchor="margin" w:y="475"/>
                    <w:spacing w:line="3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操行成績符合畢業資格</w:t>
                  </w:r>
                </w:p>
              </w:tc>
              <w:tc>
                <w:tcPr>
                  <w:tcW w:w="1771" w:type="dxa"/>
                  <w:vMerge/>
                  <w:shd w:val="clear" w:color="auto" w:fill="auto"/>
                  <w:vAlign w:val="center"/>
                </w:tcPr>
                <w:p w:rsidR="00F83C16" w:rsidRPr="00BE3AA1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學</w:t>
                  </w:r>
                  <w:proofErr w:type="gramStart"/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務</w:t>
                  </w:r>
                  <w:proofErr w:type="gramEnd"/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處課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外</w:t>
                  </w: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組</w:t>
                  </w:r>
                </w:p>
              </w:tc>
              <w:tc>
                <w:tcPr>
                  <w:tcW w:w="6585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符合全方位發展學習護照畢業條件</w:t>
                  </w:r>
                  <w:r w:rsidRPr="00E674BF">
                    <w:rPr>
                      <w:rFonts w:ascii="微軟正黑體" w:eastAsia="微軟正黑體" w:hAnsi="微軟正黑體" w:hint="eastAsia"/>
                      <w:szCs w:val="24"/>
                    </w:rPr>
                    <w:t>【僅大學日間部】</w:t>
                  </w:r>
                </w:p>
              </w:tc>
              <w:tc>
                <w:tcPr>
                  <w:tcW w:w="1771" w:type="dxa"/>
                  <w:vMerge w:val="restart"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第一階段：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６</w:t>
                  </w:r>
                  <w:proofErr w:type="gramEnd"/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14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日開放</w:t>
                  </w:r>
                </w:p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第二階段：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7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11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日開放</w:t>
                  </w: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學</w:t>
                  </w:r>
                  <w:proofErr w:type="gramStart"/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務</w:t>
                  </w:r>
                  <w:proofErr w:type="gramEnd"/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處生輔組</w:t>
                  </w:r>
                </w:p>
              </w:tc>
              <w:tc>
                <w:tcPr>
                  <w:tcW w:w="6585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機車出入口感應卡已繳還</w:t>
                  </w:r>
                </w:p>
              </w:tc>
              <w:tc>
                <w:tcPr>
                  <w:tcW w:w="1771" w:type="dxa"/>
                  <w:vMerge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電算中心</w:t>
                  </w:r>
                </w:p>
              </w:tc>
              <w:tc>
                <w:tcPr>
                  <w:tcW w:w="6585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學生電子郵件帳號取消等事務</w:t>
                  </w:r>
                </w:p>
              </w:tc>
              <w:tc>
                <w:tcPr>
                  <w:tcW w:w="1771" w:type="dxa"/>
                  <w:vMerge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學發處</w:t>
                  </w:r>
                  <w:proofErr w:type="gramEnd"/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就輔組</w:t>
                  </w:r>
                </w:p>
              </w:tc>
              <w:tc>
                <w:tcPr>
                  <w:tcW w:w="6585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應屆畢業生服務品質滿意度調查問卷</w:t>
                  </w:r>
                </w:p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ind w:firstLineChars="50" w:firstLine="12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52497D">
                    <w:rPr>
                      <w:rFonts w:ascii="微軟正黑體" w:eastAsia="微軟正黑體" w:hAnsi="微軟正黑體"/>
                      <w:szCs w:val="24"/>
                    </w:rPr>
                    <w:t>http://alumni.tsu.edu.tw/Survey3Login.asp</w:t>
                  </w:r>
                </w:p>
              </w:tc>
              <w:tc>
                <w:tcPr>
                  <w:tcW w:w="1771" w:type="dxa"/>
                  <w:vMerge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圖書館</w:t>
                  </w:r>
                </w:p>
              </w:tc>
              <w:tc>
                <w:tcPr>
                  <w:tcW w:w="6585" w:type="dxa"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1.</w:t>
                  </w: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歸還本校書籍及繳</w:t>
                  </w:r>
                  <w:proofErr w:type="gramStart"/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清滯還金</w:t>
                  </w:r>
                  <w:proofErr w:type="gramEnd"/>
                </w:p>
                <w:p w:rsidR="00F83C16" w:rsidRPr="00A640E9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2.歸還館際合作書籍及繳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清</w:t>
                  </w: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滯還金</w:t>
                  </w:r>
                  <w:proofErr w:type="gramEnd"/>
                </w:p>
              </w:tc>
              <w:tc>
                <w:tcPr>
                  <w:tcW w:w="1771" w:type="dxa"/>
                  <w:vMerge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圖書館</w:t>
                  </w:r>
                </w:p>
              </w:tc>
              <w:tc>
                <w:tcPr>
                  <w:tcW w:w="6585" w:type="dxa"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完成國家圖書館論文電子檔上傳</w:t>
                  </w:r>
                  <w:r>
                    <w:rPr>
                      <w:rFonts w:ascii="新細明體" w:eastAsia="新細明體" w:hAnsi="新細明體" w:hint="eastAsia"/>
                      <w:szCs w:val="24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簽署論文授權書</w:t>
                  </w:r>
                  <w:r>
                    <w:rPr>
                      <w:rFonts w:ascii="新細明體" w:eastAsia="新細明體" w:hAnsi="新細明體" w:hint="eastAsia"/>
                      <w:szCs w:val="24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繳交精裝版論文2冊及平裝版1冊</w:t>
                  </w:r>
                  <w:r>
                    <w:rPr>
                      <w:rFonts w:ascii="新細明體" w:eastAsia="新細明體" w:hAnsi="新細明體" w:hint="eastAsia"/>
                      <w:szCs w:val="24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論文PDF檔案含封面(光碟)</w:t>
                  </w:r>
                </w:p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E50101">
                    <w:rPr>
                      <w:rFonts w:ascii="微軟正黑體" w:eastAsia="微軟正黑體" w:hAnsi="微軟正黑體" w:hint="eastAsia"/>
                      <w:szCs w:val="24"/>
                    </w:rPr>
                    <w:t>【僅研究生】</w:t>
                  </w:r>
                </w:p>
              </w:tc>
              <w:tc>
                <w:tcPr>
                  <w:tcW w:w="1771" w:type="dxa"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須於</w:t>
                  </w:r>
                </w:p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８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月31日前</w:t>
                  </w:r>
                </w:p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完成繳交</w:t>
                  </w: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會計室</w:t>
                  </w:r>
                </w:p>
              </w:tc>
              <w:tc>
                <w:tcPr>
                  <w:tcW w:w="6585" w:type="dxa"/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應繳費用之審查</w:t>
                  </w:r>
                </w:p>
              </w:tc>
              <w:tc>
                <w:tcPr>
                  <w:tcW w:w="1771" w:type="dxa"/>
                  <w:vMerge w:val="restart"/>
                  <w:vAlign w:val="center"/>
                </w:tcPr>
                <w:p w:rsidR="00F83C16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第一階段：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６</w:t>
                  </w:r>
                  <w:proofErr w:type="gramEnd"/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1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日開放</w:t>
                  </w:r>
                </w:p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第二階段：</w:t>
                  </w:r>
                  <w:r>
                    <w:rPr>
                      <w:rFonts w:ascii="微軟正黑體" w:eastAsia="微軟正黑體" w:hAnsi="微軟正黑體"/>
                      <w:szCs w:val="24"/>
                    </w:rPr>
                    <w:br/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7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月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11</w:t>
                  </w:r>
                  <w:r w:rsidRPr="00BE3AA1">
                    <w:rPr>
                      <w:rFonts w:ascii="微軟正黑體" w:eastAsia="微軟正黑體" w:hAnsi="微軟正黑體" w:hint="eastAsia"/>
                      <w:szCs w:val="24"/>
                    </w:rPr>
                    <w:t>日開放</w:t>
                  </w:r>
                </w:p>
              </w:tc>
            </w:tr>
            <w:tr w:rsidR="00F83C16" w:rsidRPr="00D648DB" w:rsidTr="00643BB1">
              <w:trPr>
                <w:trHeight w:val="454"/>
                <w:jc w:val="center"/>
              </w:trPr>
              <w:tc>
                <w:tcPr>
                  <w:tcW w:w="2119" w:type="dxa"/>
                  <w:tcBorders>
                    <w:bottom w:val="single" w:sz="4" w:space="0" w:color="auto"/>
                  </w:tcBorders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400" w:lineRule="exact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總務處出納組</w:t>
                  </w:r>
                </w:p>
              </w:tc>
              <w:tc>
                <w:tcPr>
                  <w:tcW w:w="6585" w:type="dxa"/>
                  <w:tcBorders>
                    <w:bottom w:val="single" w:sz="4" w:space="0" w:color="auto"/>
                  </w:tcBorders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D648DB">
                    <w:rPr>
                      <w:rFonts w:ascii="微軟正黑體" w:eastAsia="微軟正黑體" w:hAnsi="微軟正黑體" w:hint="eastAsia"/>
                      <w:szCs w:val="24"/>
                    </w:rPr>
                    <w:t>結清各項費用</w:t>
                  </w:r>
                </w:p>
              </w:tc>
              <w:tc>
                <w:tcPr>
                  <w:tcW w:w="177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83C16" w:rsidRPr="00D648DB" w:rsidRDefault="00F83C16" w:rsidP="00CB7E18">
                  <w:pPr>
                    <w:framePr w:hSpace="180" w:wrap="around" w:vAnchor="text" w:hAnchor="margin" w:y="475"/>
                    <w:widowControl/>
                    <w:spacing w:line="320" w:lineRule="exact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</w:tbl>
          <w:p w:rsidR="00F83C16" w:rsidRPr="005E5673" w:rsidRDefault="00F83C16" w:rsidP="00F83C1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說明：請畢業生於到校領取畢業證書前務必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逕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至校務系統確認是否皆已符合各項審核作業。</w:t>
            </w:r>
          </w:p>
        </w:tc>
      </w:tr>
      <w:tr w:rsidR="00F83C16" w:rsidRPr="005E5673" w:rsidTr="00F83C16">
        <w:tc>
          <w:tcPr>
            <w:tcW w:w="1951" w:type="dxa"/>
            <w:vAlign w:val="center"/>
          </w:tcPr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未修足</w:t>
            </w:r>
          </w:p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畢業學分數</w:t>
            </w:r>
          </w:p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學生</w:t>
            </w:r>
          </w:p>
          <w:p w:rsidR="00F83C16" w:rsidRPr="00E7743D" w:rsidRDefault="00F83C16" w:rsidP="00F83C16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</w:tc>
        <w:tc>
          <w:tcPr>
            <w:tcW w:w="11624" w:type="dxa"/>
            <w:vAlign w:val="center"/>
          </w:tcPr>
          <w:p w:rsidR="00F83C16" w:rsidRPr="00E7743D" w:rsidRDefault="00F83C16" w:rsidP="00F83C1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1.若學生尚未符合</w:t>
            </w:r>
            <w:r w:rsidRPr="00E7743D">
              <w:rPr>
                <w:rFonts w:ascii="微軟正黑體" w:eastAsia="微軟正黑體" w:hAnsi="微軟正黑體"/>
                <w:szCs w:val="24"/>
              </w:rPr>
              <w:t>所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屬學系規定之畢業學分數，依規定需辦理</w:t>
            </w:r>
            <w:r>
              <w:rPr>
                <w:rFonts w:ascii="微軟正黑體" w:eastAsia="微軟正黑體" w:hAnsi="微軟正黑體" w:hint="eastAsia"/>
                <w:szCs w:val="24"/>
              </w:rPr>
              <w:t>107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學年度第</w:t>
            </w:r>
            <w:r>
              <w:rPr>
                <w:rFonts w:ascii="微軟正黑體" w:eastAsia="微軟正黑體" w:hAnsi="微軟正黑體" w:hint="eastAsia"/>
                <w:szCs w:val="24"/>
              </w:rPr>
              <w:t>1學期「延長修業年限」或「休學」手續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。若未辦理者，依本校學則勒令退學。</w:t>
            </w:r>
          </w:p>
          <w:p w:rsidR="00F83C16" w:rsidRDefault="00F83C16" w:rsidP="00F83C1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2.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A327D7">
              <w:rPr>
                <w:rFonts w:ascii="微軟正黑體" w:eastAsia="微軟正黑體" w:hAnsi="微軟正黑體" w:hint="eastAsia"/>
                <w:szCs w:val="24"/>
              </w:rPr>
              <w:t>凡有修習大</w:t>
            </w:r>
            <w:proofErr w:type="gramStart"/>
            <w:r w:rsidRPr="00A327D7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A327D7">
              <w:rPr>
                <w:rFonts w:ascii="微軟正黑體" w:eastAsia="微軟正黑體" w:hAnsi="微軟正黑體" w:hint="eastAsia"/>
                <w:szCs w:val="24"/>
              </w:rPr>
              <w:t>~大三(包含專業、通識)之畢業班學生，無論該科成績是否影響畢業資格，</w:t>
            </w:r>
            <w:proofErr w:type="gramStart"/>
            <w:r w:rsidRPr="00A327D7">
              <w:rPr>
                <w:rFonts w:ascii="微軟正黑體" w:eastAsia="微軟正黑體" w:hAnsi="微軟正黑體" w:hint="eastAsia"/>
                <w:szCs w:val="24"/>
              </w:rPr>
              <w:t>均需待</w:t>
            </w:r>
            <w:proofErr w:type="gramEnd"/>
            <w:r w:rsidRPr="00A327D7">
              <w:rPr>
                <w:rFonts w:ascii="微軟正黑體" w:eastAsia="微軟正黑體" w:hAnsi="微軟正黑體" w:hint="eastAsia"/>
                <w:szCs w:val="24"/>
              </w:rPr>
              <w:t>修課成績全部送達</w:t>
            </w:r>
            <w:r w:rsidRPr="00A327D7">
              <w:rPr>
                <w:rFonts w:ascii="微軟正黑體" w:eastAsia="微軟正黑體" w:hAnsi="微軟正黑體"/>
                <w:szCs w:val="24"/>
              </w:rPr>
              <w:t>(</w:t>
            </w:r>
            <w:r w:rsidRPr="00A327D7">
              <w:rPr>
                <w:rFonts w:ascii="微軟正黑體" w:eastAsia="微軟正黑體" w:hAnsi="微軟正黑體" w:hint="eastAsia"/>
                <w:szCs w:val="24"/>
              </w:rPr>
              <w:t>此作法為避免學生對該科成績有疑義，而影響學業平均，影響日後各項權益)，</w:t>
            </w:r>
            <w:r w:rsidRPr="00A327D7">
              <w:rPr>
                <w:rFonts w:ascii="微軟正黑體" w:eastAsia="微軟正黑體" w:hAnsi="微軟正黑體"/>
                <w:szCs w:val="24"/>
              </w:rPr>
              <w:t>符</w:t>
            </w:r>
            <w:r w:rsidRPr="00A327D7">
              <w:rPr>
                <w:rFonts w:ascii="微軟正黑體" w:eastAsia="微軟正黑體" w:hAnsi="微軟正黑體" w:hint="eastAsia"/>
                <w:szCs w:val="24"/>
              </w:rPr>
              <w:t>合畢業資格，</w:t>
            </w:r>
            <w:r w:rsidRPr="00A327D7">
              <w:rPr>
                <w:rFonts w:ascii="微軟正黑體" w:eastAsia="微軟正黑體" w:hAnsi="微軟正黑體"/>
                <w:szCs w:val="24"/>
              </w:rPr>
              <w:t>方</w:t>
            </w:r>
            <w:r w:rsidRPr="00A327D7">
              <w:rPr>
                <w:rFonts w:ascii="微軟正黑體" w:eastAsia="微軟正黑體" w:hAnsi="微軟正黑體" w:hint="eastAsia"/>
                <w:szCs w:val="24"/>
              </w:rPr>
              <w:t>可領取學位證書。</w:t>
            </w:r>
            <w:r w:rsidRPr="00A327D7">
              <w:rPr>
                <w:rFonts w:ascii="微軟正黑體" w:eastAsia="微軟正黑體" w:hAnsi="微軟正黑體" w:hint="eastAsia"/>
                <w:b/>
                <w:szCs w:val="24"/>
              </w:rPr>
              <w:t>若有急需畢業相關證明，</w:t>
            </w:r>
            <w:proofErr w:type="gramStart"/>
            <w:r w:rsidRPr="00A327D7">
              <w:rPr>
                <w:rFonts w:ascii="微軟正黑體" w:eastAsia="微軟正黑體" w:hAnsi="微軟正黑體"/>
                <w:b/>
                <w:szCs w:val="24"/>
              </w:rPr>
              <w:t>得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親至</w:t>
            </w:r>
            <w:r w:rsidRPr="00A327D7">
              <w:rPr>
                <w:rFonts w:ascii="微軟正黑體" w:eastAsia="微軟正黑體" w:hAnsi="微軟正黑體" w:hint="eastAsia"/>
                <w:b/>
                <w:szCs w:val="24"/>
              </w:rPr>
              <w:t>教務處冊組申請</w:t>
            </w:r>
            <w:proofErr w:type="gramEnd"/>
            <w:r w:rsidRPr="00A327D7">
              <w:rPr>
                <w:rFonts w:ascii="微軟正黑體" w:eastAsia="微軟正黑體" w:hAnsi="微軟正黑體" w:hint="eastAsia"/>
                <w:b/>
                <w:szCs w:val="24"/>
              </w:rPr>
              <w:t>「預定畢業證明書」。</w:t>
            </w:r>
          </w:p>
          <w:p w:rsidR="00F83C16" w:rsidRPr="00E7743D" w:rsidRDefault="00F83C16" w:rsidP="00F83C1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Pr="00E7743D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依上述說明，各項作業辦理時間如下:</w:t>
            </w:r>
          </w:p>
          <w:p w:rsidR="00F83C16" w:rsidRDefault="00F83C16" w:rsidP="00F83C16">
            <w:pPr>
              <w:spacing w:line="400" w:lineRule="exact"/>
              <w:ind w:leftChars="100" w:left="480" w:hangingChars="100" w:hanging="240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欲辦理10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學年度第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學期</w:t>
            </w:r>
            <w:r w:rsidRPr="00E7743D">
              <w:rPr>
                <w:rFonts w:ascii="微軟正黑體" w:eastAsia="微軟正黑體" w:hAnsi="微軟正黑體" w:hint="eastAsia"/>
                <w:b/>
                <w:szCs w:val="24"/>
              </w:rPr>
              <w:t>「休學」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：10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日-</w:t>
            </w: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日前到校辦理休學手續。</w:t>
            </w:r>
          </w:p>
          <w:p w:rsidR="00F83C16" w:rsidRPr="00E7743D" w:rsidRDefault="00F83C16" w:rsidP="00F83C1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szCs w:val="24"/>
              </w:rPr>
            </w:pPr>
            <w:r w:rsidRPr="00E7743D">
              <w:rPr>
                <w:rFonts w:ascii="微軟正黑體" w:eastAsia="微軟正黑體" w:hAnsi="微軟正黑體" w:hint="eastAsia"/>
                <w:szCs w:val="24"/>
              </w:rPr>
              <w:t>欲辦理10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學年度第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學期</w:t>
            </w:r>
            <w:r w:rsidRPr="00E7743D">
              <w:rPr>
                <w:rFonts w:ascii="微軟正黑體" w:eastAsia="微軟正黑體" w:hAnsi="微軟正黑體" w:hint="eastAsia"/>
                <w:b/>
                <w:szCs w:val="24"/>
              </w:rPr>
              <w:t>「延長修業選課註冊」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：10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11-15</w:t>
            </w:r>
            <w:r w:rsidRPr="00E7743D">
              <w:rPr>
                <w:rFonts w:ascii="微軟正黑體" w:eastAsia="微軟正黑體" w:hAnsi="微軟正黑體" w:hint="eastAsia"/>
                <w:szCs w:val="24"/>
              </w:rPr>
              <w:t>日親至課</w:t>
            </w:r>
            <w:proofErr w:type="gramStart"/>
            <w:r w:rsidRPr="00E7743D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E7743D">
              <w:rPr>
                <w:rFonts w:ascii="微軟正黑體" w:eastAsia="微軟正黑體" w:hAnsi="微軟正黑體" w:hint="eastAsia"/>
                <w:szCs w:val="24"/>
              </w:rPr>
              <w:t>組辦理</w:t>
            </w:r>
            <w:proofErr w:type="gramStart"/>
            <w:r w:rsidRPr="00E7743D">
              <w:rPr>
                <w:rFonts w:ascii="微軟正黑體" w:eastAsia="微軟正黑體" w:hAnsi="微軟正黑體" w:hint="eastAsia"/>
                <w:szCs w:val="24"/>
              </w:rPr>
              <w:t>延修暨註冊</w:t>
            </w:r>
            <w:proofErr w:type="gramEnd"/>
            <w:r w:rsidRPr="00E7743D">
              <w:rPr>
                <w:rFonts w:ascii="微軟正黑體" w:eastAsia="微軟正黑體" w:hAnsi="微軟正黑體" w:hint="eastAsia"/>
                <w:szCs w:val="24"/>
              </w:rPr>
              <w:t>手續。</w:t>
            </w:r>
          </w:p>
        </w:tc>
      </w:tr>
    </w:tbl>
    <w:p w:rsidR="005E5673" w:rsidRPr="00F83C16" w:rsidRDefault="005E5673" w:rsidP="00F83C16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7743D">
        <w:rPr>
          <w:rFonts w:ascii="微軟正黑體" w:eastAsia="微軟正黑體" w:hAnsi="微軟正黑體" w:hint="eastAsia"/>
          <w:b/>
          <w:sz w:val="32"/>
          <w:szCs w:val="32"/>
        </w:rPr>
        <w:t>10</w:t>
      </w:r>
      <w:r w:rsidR="00EF1BAC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Pr="00E7743D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F024D4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E7743D">
        <w:rPr>
          <w:rFonts w:ascii="微軟正黑體" w:eastAsia="微軟正黑體" w:hAnsi="微軟正黑體" w:hint="eastAsia"/>
          <w:b/>
          <w:sz w:val="32"/>
          <w:szCs w:val="32"/>
        </w:rPr>
        <w:t>學期 日間學制領取畢業證書</w:t>
      </w:r>
      <w:r w:rsidR="00350F33">
        <w:rPr>
          <w:rFonts w:ascii="微軟正黑體" w:eastAsia="微軟正黑體" w:hAnsi="微軟正黑體" w:hint="eastAsia"/>
          <w:b/>
          <w:sz w:val="32"/>
          <w:szCs w:val="32"/>
        </w:rPr>
        <w:t>注意事項</w:t>
      </w:r>
      <w:r w:rsidRPr="00E7743D">
        <w:rPr>
          <w:rFonts w:ascii="微軟正黑體" w:eastAsia="微軟正黑體" w:hAnsi="微軟正黑體" w:hint="eastAsia"/>
          <w:b/>
          <w:sz w:val="32"/>
          <w:szCs w:val="32"/>
        </w:rPr>
        <w:t xml:space="preserve"> 公告</w:t>
      </w:r>
    </w:p>
    <w:p w:rsidR="001439EF" w:rsidRPr="001439EF" w:rsidRDefault="001439EF" w:rsidP="001439EF">
      <w:pPr>
        <w:spacing w:beforeLines="50" w:before="180" w:afterLines="50" w:after="180" w:line="400" w:lineRule="exact"/>
        <w:jc w:val="center"/>
        <w:rPr>
          <w:rFonts w:ascii="超世紀中顏楷" w:eastAsia="超世紀中顏楷" w:hAnsi="華康圓體 Std W7"/>
          <w:sz w:val="40"/>
          <w:szCs w:val="40"/>
        </w:rPr>
      </w:pPr>
      <w:r w:rsidRPr="001439EF">
        <w:rPr>
          <w:rFonts w:ascii="超世紀中顏楷" w:eastAsia="超世紀中顏楷" w:hAnsi="華康圓體 Std W7" w:hint="eastAsia"/>
          <w:sz w:val="40"/>
          <w:szCs w:val="40"/>
        </w:rPr>
        <w:t>昂首世界~~</w:t>
      </w:r>
      <w:proofErr w:type="gramStart"/>
      <w:r w:rsidRPr="001439EF">
        <w:rPr>
          <w:rFonts w:ascii="超世紀中顏楷" w:eastAsia="超世紀中顏楷" w:hAnsi="華康圓體 Std W7" w:hint="eastAsia"/>
          <w:sz w:val="40"/>
          <w:szCs w:val="40"/>
        </w:rPr>
        <w:t>府視未來</w:t>
      </w:r>
      <w:proofErr w:type="gramEnd"/>
    </w:p>
    <w:p w:rsidR="00105E0A" w:rsidRPr="001439EF" w:rsidRDefault="001439EF" w:rsidP="006D5EB3">
      <w:pPr>
        <w:spacing w:line="400" w:lineRule="exact"/>
        <w:jc w:val="center"/>
        <w:rPr>
          <w:rFonts w:ascii="超世紀中顏楷" w:eastAsia="超世紀中顏楷"/>
        </w:rPr>
      </w:pPr>
      <w:r w:rsidRPr="001439EF">
        <w:rPr>
          <w:rFonts w:ascii="超世紀中顏楷" w:eastAsia="超世紀中顏楷" w:hAnsi="華康圓體 Std W7" w:hint="eastAsia"/>
          <w:sz w:val="32"/>
          <w:szCs w:val="32"/>
        </w:rPr>
        <w:t>☆☆</w:t>
      </w:r>
      <w:r w:rsidR="00E7743D" w:rsidRPr="001439EF">
        <w:rPr>
          <w:rFonts w:ascii="超世紀中顏楷" w:eastAsia="超世紀中顏楷" w:hAnsi="華康圓體 Std W7" w:cs="新細明體" w:hint="eastAsia"/>
          <w:kern w:val="0"/>
          <w:sz w:val="32"/>
          <w:szCs w:val="32"/>
        </w:rPr>
        <w:t>祝福</w:t>
      </w:r>
      <w:r w:rsidRPr="001439EF">
        <w:rPr>
          <w:rFonts w:ascii="超世紀中顏楷" w:eastAsia="超世紀中顏楷" w:hAnsi="華康圓體 Std W7" w:cs="新細明體" w:hint="eastAsia"/>
          <w:kern w:val="0"/>
          <w:sz w:val="32"/>
          <w:szCs w:val="32"/>
        </w:rPr>
        <w:t>畢業生</w:t>
      </w:r>
      <w:r w:rsidR="00E7743D" w:rsidRPr="001439EF">
        <w:rPr>
          <w:rFonts w:ascii="超世紀中顏楷" w:eastAsia="超世紀中顏楷" w:hAnsi="華康圓體 Std W7" w:cs="新細明體" w:hint="eastAsia"/>
          <w:kern w:val="0"/>
          <w:sz w:val="32"/>
          <w:szCs w:val="32"/>
        </w:rPr>
        <w:t>鵬程萬里</w:t>
      </w:r>
      <w:r w:rsidRPr="001439EF">
        <w:rPr>
          <w:rFonts w:ascii="超世紀中顏楷" w:eastAsia="超世紀中顏楷" w:hAnsi="華康圓體 Std W7" w:hint="eastAsia"/>
          <w:sz w:val="32"/>
          <w:szCs w:val="32"/>
        </w:rPr>
        <w:t>~~</w:t>
      </w:r>
      <w:r w:rsidR="00E7743D" w:rsidRPr="001439EF">
        <w:rPr>
          <w:rFonts w:ascii="超世紀中顏楷" w:eastAsia="超世紀中顏楷" w:hAnsi="華康圓體 Std W7" w:cs="新細明體" w:hint="eastAsia"/>
          <w:kern w:val="0"/>
          <w:sz w:val="32"/>
          <w:szCs w:val="32"/>
        </w:rPr>
        <w:t>前程似錦</w:t>
      </w:r>
      <w:r w:rsidR="00E7743D" w:rsidRPr="001439EF">
        <w:rPr>
          <w:rFonts w:ascii="超世紀中顏楷" w:eastAsia="超世紀中顏楷" w:hAnsi="華康圓體 Std W7" w:hint="eastAsia"/>
          <w:sz w:val="32"/>
          <w:szCs w:val="32"/>
        </w:rPr>
        <w:t>!!</w:t>
      </w:r>
      <w:r w:rsidRPr="001439EF">
        <w:rPr>
          <w:rFonts w:ascii="超世紀中顏楷" w:eastAsia="超世紀中顏楷" w:hAnsi="華康圓體 Std W7" w:hint="eastAsia"/>
          <w:sz w:val="32"/>
          <w:szCs w:val="32"/>
        </w:rPr>
        <w:t>!</w:t>
      </w:r>
      <w:r>
        <w:rPr>
          <w:rFonts w:ascii="超世紀中顏楷" w:eastAsia="超世紀中顏楷" w:hAnsi="華康圓體 Std W7" w:hint="eastAsia"/>
          <w:sz w:val="32"/>
          <w:szCs w:val="32"/>
        </w:rPr>
        <w:t xml:space="preserve">  </w:t>
      </w:r>
      <w:r w:rsidR="00E7743D" w:rsidRPr="001439EF">
        <w:rPr>
          <w:rFonts w:ascii="超世紀中顏楷" w:eastAsia="超世紀中顏楷" w:hAnsi="華康圓體 Std W7" w:cs="新細明體" w:hint="eastAsia"/>
          <w:kern w:val="0"/>
          <w:sz w:val="32"/>
          <w:szCs w:val="32"/>
        </w:rPr>
        <w:t>註冊組</w:t>
      </w:r>
      <w:r w:rsidRPr="001439EF">
        <w:rPr>
          <w:rFonts w:ascii="超世紀中顏楷" w:eastAsia="超世紀中顏楷" w:hAnsi="華康圓體 Std W7" w:hint="eastAsia"/>
          <w:sz w:val="32"/>
          <w:szCs w:val="32"/>
        </w:rPr>
        <w:t>☆☆</w:t>
      </w:r>
    </w:p>
    <w:sectPr w:rsidR="00105E0A" w:rsidRPr="001439EF" w:rsidSect="00F83C16">
      <w:pgSz w:w="14572" w:h="20639" w:code="12"/>
      <w:pgMar w:top="567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22" w:rsidRDefault="000E5622" w:rsidP="004B4543">
      <w:r>
        <w:separator/>
      </w:r>
    </w:p>
  </w:endnote>
  <w:endnote w:type="continuationSeparator" w:id="0">
    <w:p w:rsidR="000E5622" w:rsidRDefault="000E5622" w:rsidP="004B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華康圓體 Std W7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22" w:rsidRDefault="000E5622" w:rsidP="004B4543">
      <w:r>
        <w:separator/>
      </w:r>
    </w:p>
  </w:footnote>
  <w:footnote w:type="continuationSeparator" w:id="0">
    <w:p w:rsidR="000E5622" w:rsidRDefault="000E5622" w:rsidP="004B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73"/>
    <w:rsid w:val="00004E95"/>
    <w:rsid w:val="00055FFD"/>
    <w:rsid w:val="000E5622"/>
    <w:rsid w:val="00105E0A"/>
    <w:rsid w:val="001439EF"/>
    <w:rsid w:val="00160309"/>
    <w:rsid w:val="0016489E"/>
    <w:rsid w:val="0026260F"/>
    <w:rsid w:val="002C2461"/>
    <w:rsid w:val="002E5161"/>
    <w:rsid w:val="003106C9"/>
    <w:rsid w:val="00350F33"/>
    <w:rsid w:val="0036123A"/>
    <w:rsid w:val="00373824"/>
    <w:rsid w:val="00493434"/>
    <w:rsid w:val="004B4543"/>
    <w:rsid w:val="004E6C16"/>
    <w:rsid w:val="004F6CF0"/>
    <w:rsid w:val="0052497D"/>
    <w:rsid w:val="00583E11"/>
    <w:rsid w:val="005B4141"/>
    <w:rsid w:val="005E5673"/>
    <w:rsid w:val="006230A9"/>
    <w:rsid w:val="00643D8C"/>
    <w:rsid w:val="00691F98"/>
    <w:rsid w:val="006D5EB3"/>
    <w:rsid w:val="00726BEC"/>
    <w:rsid w:val="00763538"/>
    <w:rsid w:val="007A59DF"/>
    <w:rsid w:val="007A7568"/>
    <w:rsid w:val="008977C2"/>
    <w:rsid w:val="008B4C75"/>
    <w:rsid w:val="008E01E5"/>
    <w:rsid w:val="008E1BA7"/>
    <w:rsid w:val="00903051"/>
    <w:rsid w:val="0095206E"/>
    <w:rsid w:val="00957EBC"/>
    <w:rsid w:val="00A00B6B"/>
    <w:rsid w:val="00A17A7F"/>
    <w:rsid w:val="00AE744A"/>
    <w:rsid w:val="00B674B8"/>
    <w:rsid w:val="00B80166"/>
    <w:rsid w:val="00BE3AA1"/>
    <w:rsid w:val="00BE675C"/>
    <w:rsid w:val="00C06126"/>
    <w:rsid w:val="00CB2B73"/>
    <w:rsid w:val="00CB7E18"/>
    <w:rsid w:val="00D45D60"/>
    <w:rsid w:val="00DC4367"/>
    <w:rsid w:val="00E50101"/>
    <w:rsid w:val="00E674BF"/>
    <w:rsid w:val="00E7743D"/>
    <w:rsid w:val="00EA0347"/>
    <w:rsid w:val="00EA67DB"/>
    <w:rsid w:val="00ED2AD4"/>
    <w:rsid w:val="00ED7B9B"/>
    <w:rsid w:val="00EF1BAC"/>
    <w:rsid w:val="00F024D4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45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4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45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45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4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45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56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2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9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64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25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9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488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5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2871-FEBB-4F2E-8F46-229A28C8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註冊組工讀生-01</cp:lastModifiedBy>
  <cp:revision>9</cp:revision>
  <cp:lastPrinted>2018-04-17T04:11:00Z</cp:lastPrinted>
  <dcterms:created xsi:type="dcterms:W3CDTF">2018-04-02T08:57:00Z</dcterms:created>
  <dcterms:modified xsi:type="dcterms:W3CDTF">2018-04-19T00:11:00Z</dcterms:modified>
</cp:coreProperties>
</file>